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80" w:lineRule="atLeast" w:line="414"/>
        <w:jc w:val="center"/>
        <w:outlineLvl w:val="0"/>
        <w:rPr>
          <w:rFonts w:ascii="Roboto" w:cs="Times New Roman" w:eastAsia="Times New Roman" w:hAnsi="Roboto"/>
          <w:kern w:val="36"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bCs/>
          <w:spacing w:val="-10"/>
          <w:kern w:val="36"/>
          <w:sz w:val="36"/>
          <w:szCs w:val="36"/>
          <w:lang w:eastAsia="ru-RU"/>
        </w:rPr>
        <w:t>XULQ, AXLOQ VA HUQUQ TUSHUNCHALARI MAZMUN-MOHIYATI</w:t>
      </w:r>
    </w:p>
    <w:p>
      <w:pPr>
        <w:pStyle w:val="style0"/>
        <w:shd w:val="clear" w:color="auto" w:fill="ffffff"/>
        <w:spacing w:after="0" w:lineRule="auto" w:line="240"/>
        <w:ind w:left="709"/>
        <w:jc w:val="right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/>
        <w:fldChar w:fldCharType="begin"/>
      </w:r>
      <w:r>
        <w:instrText xml:space="preserve"> HYPERLINK "https://milliytarbiya.uzedu.uz/storage/Kelajak%20saoti/PDF/Dars%20maqsadi%209-11%203.pdf" \t "_blank"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Metodologiya</w:t>
      </w:r>
      <w:r>
        <w:rPr/>
        <w:fldChar w:fldCharType="end"/>
      </w:r>
    </w:p>
    <w:p>
      <w:pPr>
        <w:pStyle w:val="style0"/>
        <w:shd w:val="clear" w:color="auto" w:fill="ffffff"/>
        <w:spacing w:after="0" w:lineRule="auto" w:line="240"/>
        <w:ind w:firstLine="709"/>
        <w:jc w:val="center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Asosiy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dars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mashg‘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uloti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1.Kirish.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Motivatsion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qism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(10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daqiqa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)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qituvchi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Assalomu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alaykum,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aziz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o‘quvchilar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!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hammamiz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e’tiborimizni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ekranga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qaratsak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qituvchi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ekranda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quyidagi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videoni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qo‘yib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)</w:t>
      </w:r>
    </w:p>
    <w:p>
      <w:pPr>
        <w:pStyle w:val="style0"/>
        <w:shd w:val="clear" w:color="auto" w:fill="ffffff"/>
        <w:spacing w:after="0" w:lineRule="auto" w:line="240"/>
        <w:rPr>
          <w:rFonts w:ascii="Roboto" w:cs="Times New Roman" w:eastAsia="Times New Roman" w:hAnsi="Roboto"/>
          <w:sz w:val="24"/>
          <w:szCs w:val="24"/>
          <w:lang w:val="en-US" w:eastAsia="ru-RU"/>
        </w:rPr>
      </w:pPr>
      <w:r>
        <w:rPr>
          <w:rFonts w:ascii="Roboto" w:cs="Times New Roman" w:eastAsia="Times New Roman" w:hAnsi="Roboto"/>
          <w:sz w:val="24"/>
          <w:szCs w:val="24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rPr>
          <w:rFonts w:ascii="Roboto" w:cs="Times New Roman" w:eastAsia="Times New Roman" w:hAnsi="Roboto"/>
          <w:sz w:val="24"/>
          <w:szCs w:val="24"/>
          <w:lang w:val="en-US" w:eastAsia="ru-RU"/>
        </w:rPr>
      </w:pPr>
      <w:r>
        <w:rPr>
          <w:rFonts w:ascii="Roboto" w:cs="Times New Roman" w:eastAsia="Times New Roman" w:hAnsi="Roboto"/>
          <w:sz w:val="24"/>
          <w:szCs w:val="24"/>
          <w:lang w:val="en-US" w:eastAsia="ru-RU"/>
        </w:rPr>
        <w:br/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qituvchi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 Aziz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o‘quvchilar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hozirgina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ko‘rgan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videomizda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Prezidentimiz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Shavkat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Mirziyoyev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yoshlar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uchrashib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erishgan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yutuqlarini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yuksak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qadrlaganiga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guvoh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bo‘ldik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Fan, sport,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san’at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texnologiya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sohada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muvaffaqiyat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qozongan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ushbu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yoshlarimizning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hech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tasodifan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marralarga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erishmagan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tanlov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oldiga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qo‘ygan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yo‘lida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tinimsiz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mehnat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Bugungi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darsimiz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ham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aynan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mana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fikrlar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Har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biz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oila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a’zolarimiz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do‘stlarimiz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boshqalar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turli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ijtimoiy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kirishamiz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o‘qishga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ishga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do‘konga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boramiz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 Bir-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birimizga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muomala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amal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bajarishimizni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tanlaymiz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Kimdir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rostgo‘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ylikni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kimdir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halollikni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kimdir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sabrni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Ana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tanlovlar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jamlanib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bizning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xulqimizni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ya’ni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ekanligimizni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belgilaydi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ekan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dars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davomida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biz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tushunchalari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mazmun-mohiyati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ahamiyatini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rganamiz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ijtimoiy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mavjudot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yashay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olmaydi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zgalar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muayyan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qoidalar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me’yorlar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tartiblar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boshqariladi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Bu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qoidalar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xatti-harakatlarini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yo‘lga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yo‘naltirib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tartib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adolat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o‘zaro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ta’minlaydi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Bu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me’zonlar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tushunchalar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alohida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xulq-atvor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)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kundalik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hayotdagi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xatti-harakatlari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qabul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uslubi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atrofdagilarga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tutish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tarzida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ifodalanadigan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xususiyatlar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majmuidir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dunyosi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qalbi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niyati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fikrlari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e’tiqodining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tashqi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ifodasi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hisoblanadi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faqatgina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ilganidan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mavjud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tabiiy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xususiyatlar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natijasi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emas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balki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hayot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davomida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oila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tarbiyasi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ta’lim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ijtimoiy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muhit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tajriba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shuningdek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diniy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e’tiqod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milliy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hamda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umuminsoniy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qadriyatlar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shakllanadi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Shu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sababli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xos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noyob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takrorlanmas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Abdulla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Avloniy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shoh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sanalgan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Turkiy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guliston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yoxud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”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asarida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axloq-odob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me’yorlari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ta’lim-tarbiya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masalalariga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alohida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e’tibor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qaratadi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Xususan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Abdulla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Avloniy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ikkiga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ajratadi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ulamosi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ikkiga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boʻlishlar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Agar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nafs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tarbiyat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topib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ishlarni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qilurga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yaxshilikgʻa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tavsif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boʻlub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,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” agar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tarbiyatsiz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oʻsub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ishlaydurgan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boʻlub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ketsa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yomonligʻgʻa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tavsif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boʻlub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” deb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atalur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” deb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ta’kidlaydi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Abdulla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Avloniy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bobomiz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diyonat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gʻayrat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qanoat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shijoat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ilm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sabr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hilm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intizom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vijdon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vatanni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suymak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haqqoniyat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iffat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hayo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idrok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zako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sadoqat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muhabbat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kechirimlilik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sifatlarni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taʼriflagan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koʻrinishlari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deb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gʻazab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jaholat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hasad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adovat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gʻiybat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haqorat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nifoq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tama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zulm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illatlarni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taʼkidlagan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jihat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shundaki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tanlovidir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xususiyatlari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atrof-muhit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ta’siri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ta’lim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darajasiga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qaramay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yo‘lni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tanlashni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belgilaydi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mehribon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beparvo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halol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ishlash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aldash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sabr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g‘azabga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berilish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barchasi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ongli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ravishda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qabul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qilinadigan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tanlovlardir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Demak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shunchaki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lsam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shundayman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”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bahona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emas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aksincha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tanlov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natijasidir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shuningdek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o‘zgartirish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yuksaltirish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sayqallash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imkoniyatiga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rtasidagi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munosabatlarda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ajratuvchi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me’yorlarini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belgilovchi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tomonidan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e’tirof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etilgan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ma’naviy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qadriyatlar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tizimidir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kishilar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rtasida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o‘zaro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mehr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adolat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halollik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mas’uliyat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fazilatlarni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toptiradi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hayotining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tashqi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emas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e’tiqod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vijdon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or-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nomus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to‘g‘ri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yashashga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undaydi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Abdulla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Avloniy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yaxshilikgʻa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chaqirguvchi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yomonlikdan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qaytarguvchi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ilmdur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”, deb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ta’rif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Demak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tomonidan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e’tirof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etiladigan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umumiy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qadriyatlar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tizimi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o‘rtasidagi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ma’naviy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mezonidir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Ilmsiz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lmasligi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mumkin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ammo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egasi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juda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katta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zarar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yetkazishi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mumkin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Shu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sababli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ta’lim-tarbiya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lmog‘i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lozim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nazorat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unga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ruhiy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tarbiya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insoniyatni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birlashtiruvchi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barqarorlashtiruvchi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ruhiy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kamolotini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belgilovchi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qadriyatlar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tizimidir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faqat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tashqi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odob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emas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balki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dunyo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vijdon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e’tiqodning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amaliy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ifodasidir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davlat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tomonidan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belgilangan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barcha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fuqarolar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tashkilotlar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majburiy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qonun-qoidalar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tizimi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tartib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rnatish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erkinliklarini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himoya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adolatni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ta’minlash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maqsadlarga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qaratilgan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buzilgan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taqdirda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davlat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tomonidan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javobgarlik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jazo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choralari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tizim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odamlar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rtasidagi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mulkiy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mehnat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aloqalari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nikoh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oila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ma’muriy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jinoiyat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javobgarlik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tartibini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davlat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fuqaro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tartibga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ekan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barqarorligi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adolat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intizom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huquqlarining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kafolatidir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outlineLvl w:val="2"/>
        <w:rPr>
          <w:rFonts w:ascii="Roboto" w:cs="Times New Roman" w:eastAsia="Times New Roman" w:hAnsi="Roboto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Huquqning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asosiy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xususiyatlari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Rasmiy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hujjatlarda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qayd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etilishi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kodekslar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farmonlar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qarorlar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shaklida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Majburiy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amal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qilinishi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irodasidan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qat’i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nazar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barcha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umumiymajburiydir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Davlat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tomonidan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qabul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qilinishi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nazorat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qilinishi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buzgan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intizomiy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ma’muriy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iqtisodiy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jinoiy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javobgarlikka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tortiladi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outlineLvl w:val="2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Yuqoridagi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ma’lumotlardan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chiqib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ushbu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tushunchalarning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bir-biridan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farqini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chiqsak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outlineLvl w:val="2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rtasidagi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farqlar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o‘zaro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bog‘liqlik</w:t>
      </w:r>
    </w:p>
    <w:tbl>
      <w:tblPr>
        <w:tblW w:w="115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9108"/>
      </w:tblGrid>
      <w:tr>
        <w:trPr>
          <w:tblHeader/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style0"/>
              <w:spacing w:after="0" w:lineRule="atLeast" w:line="450"/>
              <w:ind w:firstLine="709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Tushuncha</w:t>
            </w:r>
          </w:p>
        </w:tc>
        <w:tc>
          <w:tcPr>
            <w:tcW w:w="9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style0"/>
              <w:spacing w:after="0" w:lineRule="atLeast" w:line="450"/>
              <w:ind w:firstLine="709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Manbai</w:t>
            </w:r>
          </w:p>
        </w:tc>
      </w:tr>
      <w:tr>
        <w:tblPrEx/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Xulq</w:t>
            </w:r>
          </w:p>
        </w:tc>
        <w:tc>
          <w:tcPr>
            <w:tcW w:w="9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style0"/>
              <w:spacing w:after="0" w:lineRule="atLeast" w:line="450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Shaxsiy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tajriba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oilaviy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muhit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ta’lim-tarbiya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psixologiya</w:t>
            </w:r>
          </w:p>
        </w:tc>
      </w:tr>
      <w:tr>
        <w:tblPrEx/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Axloq</w:t>
            </w:r>
          </w:p>
        </w:tc>
        <w:tc>
          <w:tcPr>
            <w:tcW w:w="9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style0"/>
              <w:spacing w:after="0" w:lineRule="atLeast" w:line="450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Jamiyatda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e’tirof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etilgan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ma’lum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qoidalar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milliy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umuminsoniy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qadriyatlar</w:t>
            </w:r>
          </w:p>
        </w:tc>
      </w:tr>
      <w:tr>
        <w:tblPrEx/>
        <w:trPr>
          <w:jc w:val="center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Huquq</w:t>
            </w:r>
          </w:p>
        </w:tc>
        <w:tc>
          <w:tcPr>
            <w:tcW w:w="9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pStyle w:val="style0"/>
              <w:spacing w:after="0" w:lineRule="atLeast" w:line="450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Qonunlar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kodekslar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farmonlar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qarorlar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ind w:firstLine="709"/>
        <w:jc w:val="both"/>
        <w:outlineLvl w:val="3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zaro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bog‘liqligi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kundalik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tanlovlari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natijasidir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axloqiy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qadriyatlar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uyg‘unlashadi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yashash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kerakligini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rsatadi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xulqqa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ta’sir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huquqqa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ma’naviy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qadriyatlarni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himoya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tartibga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davlatning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tartib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mexanizmidir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outlineLvl w:val="2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Xulosa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qiladigan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lsak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ustunlaridir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bir-birini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ldiradi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o‘zaro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uyg‘unlikda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ishlaydi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hayotining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turli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jihatlarini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nazorat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Demak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tanlov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tarbiyaning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mevasidir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murosaga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zaro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asoslangan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muhit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yaratadi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Kuchli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tizim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adolat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tinchlik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barqarorlikni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kafolatlaydi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4"/>
          <w:szCs w:val="24"/>
          <w:lang w:val="en-US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Asosiy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qism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.   (25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daqiqa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). 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Videorolik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namoyishi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Roboto" w:cs="Times New Roman" w:eastAsia="Times New Roman" w:hAnsi="Roboto"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rPr>
          <w:rFonts w:ascii="Roboto" w:cs="Times New Roman" w:eastAsia="Times New Roman" w:hAnsi="Roboto"/>
          <w:sz w:val="24"/>
          <w:szCs w:val="24"/>
          <w:lang w:val="en-US" w:eastAsia="ru-RU"/>
        </w:rPr>
      </w:pPr>
      <w:r>
        <w:rPr>
          <w:rFonts w:ascii="Roboto" w:cs="Times New Roman" w:eastAsia="Times New Roman" w:hAnsi="Roboto"/>
          <w:sz w:val="24"/>
          <w:szCs w:val="24"/>
          <w:lang w:val="en-US" w:eastAsia="ru-RU"/>
        </w:rPr>
        <w:br/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Roboto" w:cs="Times New Roman" w:eastAsia="Times New Roman" w:hAnsi="Roboto"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Film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tomosha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qilingach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qituvchi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sinf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quyidagi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muhokama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savollarini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ko‘rib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chiqadi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Qahramon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tanlov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qildi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?</w:t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eastAsia="ru-RU"/>
        </w:rPr>
        <w:t>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Undan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nima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saboq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oldik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?</w:t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Agar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vaziyatda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lsangiz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nima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edingiz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shd w:val="clear" w:color="auto" w:fill="ffffff"/>
        <w:spacing w:after="0" w:lineRule="auto" w:line="240"/>
        <w:ind w:left="720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quvchilar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 (3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nafar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o‘quvchi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fikrlarini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aytishadi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).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outlineLvl w:val="2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I. “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Huquqiy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tanlov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” –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qonuniy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javobgarlik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veb-kvesti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Maqsad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masalan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iybat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tuhmat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haqoratga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oid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oqibatlarni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anglash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outlineLvl w:val="3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Jarayon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 3 ta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muammoli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vaziyat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masalan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):</w:t>
      </w:r>
    </w:p>
    <w:p>
      <w:pPr>
        <w:pStyle w:val="style0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do‘stini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ijtimoiy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tarmoqda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haqorat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Bir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sinfdoshiga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tuhmat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Boshqa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birovning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orqasidan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yolg‘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gap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tarqatildi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outlineLvl w:val="3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Vazifa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Har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guruhga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holat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quyidagi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savollarga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Bu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holatda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namoyon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Qonunchilikka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harakat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javobgarlik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Natija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nuqtayi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nazardan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fikr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yuritishni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o‘rganadi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left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ESLATMA!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Tanlov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z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qo‘lingda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!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xulqingiz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tutgan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o‘rningiz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darajada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ekanligini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namoyon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uyda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farzand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avtobusda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lovchi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maktabda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o‘quvchi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savdo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markazlarida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iste’molchi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sifatida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turli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ijtimoiy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rollarni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bajarasiz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Bu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jarayonlarda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zgalarni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qilishingiz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orqali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o‘zingizning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xulqingizni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namoyon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02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Masalan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maktabga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kelgach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hisoblanasiz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ma’lum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darajadagi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majburiyatlarni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bajarishingizga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to‘g‘ri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Jumladan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maktabda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sababsiz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dars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qoldirmasliklari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o‘qituvchilar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tomonidan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topshiriqlarni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vaqtida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bajarishlari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bilimi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amaliy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ko‘nikmalarini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muntazam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ravishda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oshirib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mustahkamlab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borishlari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joriy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qilingan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maktab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formasida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kelishlari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maktab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jamoat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mulkini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avaylab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asrashlari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o‘quv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qurollari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kitob-daftarlarni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ozoda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tutishlari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lozim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Agarda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majburiyatlaringizni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bajarish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jarayonida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mas’uliyatsizlikka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yo‘l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qo‘ysangiz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sababsiz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dars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qoldirsangiz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nojo‘ya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xatti-harakatlaringiz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natijasida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o‘quvchi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o‘qituvchilarning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sha’ni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qadr-qimmatini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yerga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ursangiz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faoliyatingizga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yuridik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jihatdan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chora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ko‘rilishiga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Bu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vaziyatda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huquqbuzarligingiz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yuridik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jihatdan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javobgarlik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ota-onangiz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rnini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zimmasiga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hamda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javobgarlikka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tortilishiga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ham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mumkin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Xususan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muntazam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ravishda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sababsiz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dars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mashg‘ulotlariga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qatnashmasdan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Ma’muriy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javobgarlik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to‘g‘risidagi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kodeksning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47-moddasiga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binoan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Bolalarni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tarbiyalash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ta’lim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borasidagi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majburiyatlarni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bajarmaslik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o‘quvchining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ota-onasi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o‘rnini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javobgarlikka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tortiladi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02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xulq-atvor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sifatlarini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namoyon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etish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oqibatlarga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qonunchiligimizda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choralar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ko‘rilishi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xabardormisiz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?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biroz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fikr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yuritsak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E’tiboringizni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quyidagi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jadvalga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qaratmoqchiman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Mazkur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jadvalda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xulq-atvor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sifatlari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ortidan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keladigan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javobgarlik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xtalib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o‘tilgan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 </w:t>
      </w:r>
    </w:p>
    <w:p>
      <w:pPr>
        <w:pStyle w:val="style0"/>
        <w:shd w:val="clear" w:color="auto" w:fill="ffffff"/>
        <w:spacing w:after="0" w:lineRule="atLeast" w:line="302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6723"/>
      </w:tblGrid>
      <w:tr>
        <w:trPr/>
        <w:tc>
          <w:tcPr>
            <w:tcW w:w="218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Yomon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xulq-atvor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sifatlari</w:t>
            </w:r>
          </w:p>
        </w:tc>
        <w:tc>
          <w:tcPr>
            <w:tcW w:w="6723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Huquqiy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oqibati</w:t>
            </w:r>
          </w:p>
        </w:tc>
      </w:tr>
      <w:tr>
        <w:tblPrEx/>
        <w:trPr/>
        <w:tc>
          <w:tcPr>
            <w:tcW w:w="21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Yolg‘on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gapirish</w:t>
            </w: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Jinoyat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kodeksi</w:t>
            </w:r>
          </w:p>
          <w:p>
            <w:pPr>
              <w:pStyle w:val="style0"/>
              <w:spacing w:after="0" w:lineRule="atLeast" w:line="450"/>
              <w:ind w:firstLine="851"/>
              <w:jc w:val="center"/>
              <w:rPr>
                <w:rFonts w:ascii="Roboto" w:cs="Times New Roman" w:eastAsia="Times New Roman" w:hAnsi="Roboto"/>
                <w:sz w:val="27"/>
                <w:szCs w:val="27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168-modda. </w:t>
            </w:r>
            <w:r>
              <w:rPr>
                <w:rFonts w:ascii="Times New Roman" w:cs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Firibgarlik</w:t>
            </w:r>
          </w:p>
          <w:p>
            <w:pPr>
              <w:pStyle w:val="style0"/>
              <w:spacing w:after="0" w:lineRule="atLeast" w:line="450"/>
              <w:ind w:firstLine="851"/>
              <w:jc w:val="both"/>
              <w:rPr>
                <w:rFonts w:ascii="Roboto" w:cs="Times New Roman" w:eastAsia="Times New Roman" w:hAnsi="Roboto"/>
                <w:sz w:val="27"/>
                <w:szCs w:val="27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Firibgarlik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ya’ni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aldash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yoki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ishonchni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suiiste’mol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qilish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yo‘li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bilan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o‘zganing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mulkini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yoki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o‘zganing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mulkiga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bo‘lgan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huquqni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qo‘lga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kiritish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—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bazaviy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hisoblash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miqdorining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ellik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baravaridan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yuz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baravarigacha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miqdorda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jarima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yoki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ikki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yilgacha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axloq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tuzatish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ishlari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yoki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bir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yildan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uch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yilgacha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ozodlikni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cheklash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yoxud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uch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yilgacha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ozodlikdan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mahrum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qilish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bilan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jazolanadi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238-modda</w:t>
            </w:r>
          </w:p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Yolg‘on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guvohlik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berish</w:t>
            </w:r>
          </w:p>
          <w:p>
            <w:pPr>
              <w:pStyle w:val="style0"/>
              <w:spacing w:after="0" w:lineRule="atLeast" w:line="450"/>
              <w:ind w:firstLine="741"/>
              <w:jc w:val="both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Yolg‘on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guvohlik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berish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ya’ni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surishtiruv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olib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borish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dastlabki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tergov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chog‘ida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yoki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sudda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guvohning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yoki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jabrlanuvchining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bila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turib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yolg‘on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ko‘rsatuv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berishi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yoxud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ekspertning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bila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turib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yolg‘on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xulosa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berishi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xuddi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shuningdek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tarjimonning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bir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tildan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ikkinchi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tilga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bila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turib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noto‘g‘ri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tarjima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qilishi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—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uch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yuz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soatgacha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majburiy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jamoat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ishlari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yoki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bir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yildan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uch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yilgacha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ozodlikni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cheklash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yoxud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uch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yilgacha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ozodlikdan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mahrum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qilish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bilan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jazolanadi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>
        <w:tblPrEx/>
        <w:trPr/>
        <w:tc>
          <w:tcPr>
            <w:tcW w:w="21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Tuhmat</w:t>
            </w: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Ma’muriy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javobgarlik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to‘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g‘risidagi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kodeks</w:t>
            </w:r>
          </w:p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40-modda</w:t>
            </w:r>
          </w:p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Tuhmat</w:t>
            </w:r>
          </w:p>
          <w:p>
            <w:pPr>
              <w:pStyle w:val="style0"/>
              <w:spacing w:after="0" w:lineRule="atLeast" w:line="450"/>
              <w:ind w:firstLine="741"/>
              <w:jc w:val="both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Tuhmat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ya’ni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bila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turib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yolg‘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on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boshqa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bir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shaxsni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sharmanda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qiluvchi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uydirmalarni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tarqatish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bazaviy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hisoblash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miqdorining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yigirma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baravaridan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oltmish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baravarigacha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miqdorda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jarima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solishga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sabab</w:t>
            </w:r>
            <w:r>
              <w:rPr>
                <w:rFonts w:ascii="Times New Roman" w:cs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bo‘ladi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>
        <w:tblPrEx/>
        <w:trPr/>
        <w:tc>
          <w:tcPr>
            <w:tcW w:w="21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Haqorat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qilish</w:t>
            </w: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Ma’muriy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javobgarlik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to‘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g‘risidagi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kodeks</w:t>
            </w:r>
          </w:p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41-modda</w:t>
            </w:r>
          </w:p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Haqorat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qilish</w:t>
            </w:r>
          </w:p>
          <w:p>
            <w:pPr>
              <w:pStyle w:val="style0"/>
              <w:shd w:val="clear" w:color="auto" w:fill="ffffff"/>
              <w:spacing w:after="0" w:lineRule="atLeast" w:line="450"/>
              <w:ind w:firstLine="708"/>
              <w:jc w:val="both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Haqorat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qilish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ya’ni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shaxsning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sha’ni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qadr-qimmatini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qasddan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kamsitish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bazaviy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hisoblash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miqdorining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yigirma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baravaridan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qirq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baravarigacha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miqdorda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jarima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solishga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sabab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bo‘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ladi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>
        <w:tblPrEx/>
        <w:trPr/>
        <w:tc>
          <w:tcPr>
            <w:tcW w:w="2189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So‘kinish</w:t>
            </w: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Ma’muriy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javobgarlik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to‘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g‘risidagi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kodeks</w:t>
            </w:r>
          </w:p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183-modda</w:t>
            </w:r>
          </w:p>
          <w:p>
            <w:pPr>
              <w:pStyle w:val="style0"/>
              <w:spacing w:after="0" w:lineRule="atLeast" w:line="450"/>
              <w:jc w:val="center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Mayda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bezorilik</w:t>
            </w:r>
          </w:p>
          <w:p>
            <w:pPr>
              <w:pStyle w:val="style0"/>
              <w:spacing w:after="0" w:lineRule="atLeast" w:line="450"/>
              <w:ind w:firstLine="604"/>
              <w:jc w:val="both"/>
              <w:rPr>
                <w:rFonts w:ascii="Roboto" w:cs="Times New Roman" w:eastAsia="Times New Roman" w:hAnsi="Roboto"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Mayda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bezorilik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ya’ni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jamoat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joylarida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uyatli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so‘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zlar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bilan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so‘kinish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fuqarolarga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haqoratomuz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shilqimlik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qilish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hamda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jamoat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tartibini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va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fuqarolarning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osoyishtaligini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buzuvchi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shu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kabi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boshqa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xatti-harakatlarda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ifodalangan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jamiyatda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yurish-turish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qoidalarini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qasddan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mensimaslik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—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bazaviy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hisoblash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miqdorining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uch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baravaridan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besh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baravarigacha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miqdorda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jarima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solishga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yoki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o‘n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besh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sutkagacha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muddatga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ma’muriy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qamoqqa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olishga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sabab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bo‘ladi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azab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yolg‘onchilik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haqorat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tuhmat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salbiy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illatlar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ruhiy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rivojlanishiga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salbiy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ta’sir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ko‘rsatadi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haqiqiy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do‘stlik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mehr-muhabbatdan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uzoqlashtiradi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Yoshlarimiz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his-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tuyg‘ularini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boshqarishni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halol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bo‘lishni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boshqalarni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rioya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o‘rganishlari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lozim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Faqat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shundagina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egallab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kelajakda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rivojiga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hissa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qo‘shadigan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bo‘lishlari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mumkin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Dono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xalqimizdan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salbiy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jihatlari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kurashish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hamda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ma’naviy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barkamollikka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intilish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bugungi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kunga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qancha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ibratli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hikoyalar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yetib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Shu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rivoyatdan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bittasini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havola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qilaman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Donishmandning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javobi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Rivoyat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Bir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donishmand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shogirdlari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ketayotganda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unga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baqirib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haqoratli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so‘zlar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Shogirdlar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jahli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chiqib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Ustoz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qaytaring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! —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deyishdi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Donishmand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jilmayib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– Agar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kimdir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menga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sovg‘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bersa-yu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men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olmasam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sovg‘a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kimniki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Shogirdlar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tLeast" w:line="322"/>
        <w:ind w:left="1068" w:hanging="360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Albatta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beruvchinikidir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!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Donishmand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Demak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azab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haqoratni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ham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qabul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qilmasam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menga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emas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aytuvchiga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tegishli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Rivoyatdagi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vaziyat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yuzasidan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quvchilarni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fikrlashga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undovchi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savollar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beriladi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>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Donishmand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nima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azabga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g‘azab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qaytarmadi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>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Hayotingizda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atrofingizda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holat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lganmi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Agar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donishmand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rnida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bo‘lganingizda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edingiz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quvchilar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fikrlashga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undovchi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savollarga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javob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beradilar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Bu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rivoyat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odob-axloq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aql-idrok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lishining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jihatini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ochib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Donishmandning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rsatadiki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boshqalar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tomonidan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bildirilgan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g‘azab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haqorat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so‘zlar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faqat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so‘zlovchining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tegishlidir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Ya’ni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bizning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dunyomizga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ta’sir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lishimiz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o‘zimizning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nazoratimizda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Shuningdek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rivoyat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ruhiy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barqarorligi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mustahkamligini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ta’kidlaydi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azab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haqoratlarni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qabul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qilmaslik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o‘zimizga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zarar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yetkazmasligi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ruhiy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sog‘liq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ham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muhimdir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Xulosa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qiladigan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lsak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donishmandning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—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sabr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aql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erkinlik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namunasi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bizga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boshqalar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tomonidan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keltirilgan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salbiy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ta’sirlarni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ichimizga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olmaslikni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zimizni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himoya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adovatni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qaytarmaslikni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o‘rgatadi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odob-axloq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nafaqat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qadr-qimmatini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saqlaydi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balki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boshqalar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ham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tinch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8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Demak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yurish-turish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qoidalarini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mensimasdan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bajarilgan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harakat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qonunchiligimizda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javobgarlik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muqarrar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belgilab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harakatimizning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oqibatini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o‘ylab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amalga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oshirishimiz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lozim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chiqarmangki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bilmaslik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jazodan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ozod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etmaydi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!</w:t>
      </w:r>
    </w:p>
    <w:p>
      <w:pPr>
        <w:pStyle w:val="style0"/>
        <w:shd w:val="clear" w:color="auto" w:fill="ffffff"/>
        <w:spacing w:after="0" w:lineRule="atLeast" w:line="322"/>
        <w:ind w:firstLine="709"/>
        <w:jc w:val="both"/>
        <w:outlineLvl w:val="2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II.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intervyu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”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metodi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tLeast" w:line="322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Maqsad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quvchilarda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ijobiy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xulq-atvor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odob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tushunchalarini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mustahkamlash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t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anlov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qarorlar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orqali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fikrlashni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rivojlantirish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Kirish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Bugun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haqiqiy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jurnalistlar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mehmonlardek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intervyu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tkazasizlar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!” – deb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metodni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e’lon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left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Tayyorlov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tLeast" w:line="322"/>
        <w:ind w:firstLine="709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Sinf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2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guruhga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linadi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1-guruh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vakili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jurnalist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”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savol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), 2-guruh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vakili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mehmon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”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javob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).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Intervyu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tugagach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keyingi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bosqichda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1-guruh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mehmon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2-guruh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jurnalist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”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tLeast" w:line="322"/>
        <w:ind w:firstLine="709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Jurnalist”larga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tayyorlash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savollar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namunasi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tLeast" w:line="322"/>
        <w:ind w:left="709"/>
        <w:jc w:val="both"/>
        <w:rPr>
          <w:rFonts w:ascii="Roboto" w:cs="Times New Roman" w:eastAsia="Times New Roman" w:hAnsi="Roboto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Namuna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savollar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100" w:afterAutospacing="true" w:lineRule="atLeast" w:line="230"/>
        <w:ind w:firstLine="709"/>
        <w:rPr>
          <w:rFonts w:ascii="Times New Roman" w:cs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nima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100" w:afterAutospacing="true" w:lineRule="atLeast" w:line="230"/>
        <w:ind w:firstLine="709"/>
        <w:rPr>
          <w:rFonts w:ascii="Times New Roman" w:cs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Hayotingizda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marta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kimnidir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hayratlantirganmisiz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100" w:afterAutospacing="true" w:lineRule="atLeast" w:line="230"/>
        <w:ind w:firstLine="709"/>
        <w:rPr>
          <w:rFonts w:ascii="Times New Roman" w:cs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rnak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oladigan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xulqqa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100" w:afterAutospacing="true" w:lineRule="atLeast" w:line="230"/>
        <w:ind w:firstLine="709"/>
        <w:rPr>
          <w:rFonts w:ascii="Times New Roman" w:cs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oqibatida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muammolar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chiqishi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mumkin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100" w:afterAutospacing="true" w:lineRule="atLeast" w:line="230"/>
        <w:ind w:firstLine="709"/>
        <w:rPr>
          <w:rFonts w:ascii="Times New Roman" w:cs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cs="Times New Roman" w:eastAsia="Times New Roman" w:hAnsi="Times New Roman"/>
          <w:sz w:val="14"/>
          <w:szCs w:val="14"/>
          <w:lang w:val="en-US" w:eastAsia="ru-RU"/>
        </w:rPr>
        <w:t>                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Sizningcha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-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tanlov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deganda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nima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?</w:t>
      </w:r>
    </w:p>
    <w:p>
      <w:pPr>
        <w:pStyle w:val="style0"/>
        <w:shd w:val="clear" w:color="auto" w:fill="ffffff"/>
        <w:spacing w:after="0" w:lineRule="auto" w:line="240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Intervyu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jarayoni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Juftliklar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5–7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daqiqa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davomida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intervyu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tkazadi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qituvchi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faoliyatni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kuzatadi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doskaga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kalit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tushunchalarni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yozadi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mas’uliyat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tanlov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odob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sabr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halollik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…</w:t>
      </w:r>
    </w:p>
    <w:p>
      <w:pPr>
        <w:pStyle w:val="style0"/>
        <w:shd w:val="clear" w:color="auto" w:fill="ffffff"/>
        <w:spacing w:after="0" w:lineRule="auto" w:line="240"/>
        <w:ind w:firstLine="709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Maqollar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zanjiri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Maqsad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maqollar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orqali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milliy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qadriyatlarni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singdirish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diqqat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eslab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ko‘nikmasini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rivojlantirish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musobaqa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orqali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fikrini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erkin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ifoda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orqali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muloqot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ko‘nikmalarini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rivojlantirish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tkazish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tartibi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Sinf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guruhlarga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(4-5)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linadi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Har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juftlikda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navbat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maqol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aytishadi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Kim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maqol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aytolmasa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avvalgi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maqolni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takrorlasa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yindan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chiqadi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yin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jarayoni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Shartni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bajargan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guruh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keyingi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bosqichga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tkaziladi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Bu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tartibda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oxir-oqibat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2 ta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guruh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nggi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ishtirokchiga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aylanadi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Finalda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rtasida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g‘olib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aniqlanadi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Qoidalar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Maqollarda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xulqqa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oid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ishlatilishi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kerak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Hech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qaysi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guruh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maqolni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takrorlay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olmaydi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5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soniya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maqol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aytilmasa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ushbu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guruh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yindan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chiqadi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Aytilgan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maqollar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mazmunli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bo‘lishi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lozim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ind w:firstLine="709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Yakuniy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qism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.  –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(10 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daqiqa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).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hayoti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doimo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muayyan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ijtimoiy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me’yorlar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asosida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kechadi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Ushbu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me’yorlar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,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tushunchalari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alohida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mazmuni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vazifasiga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-da,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bir-biri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chambarchas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bog‘liq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bir-birini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to‘ldiradi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 —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kundalik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hayotdagi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harakatlari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odatlari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tutish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uslubidir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tashqi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rinishda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namoyon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dunyosidan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tarbiyasidan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atrof-muhitdan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oziqlanadi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doimo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boshqalarda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uyg‘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ijobiy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shakllanishiga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hissa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qo‘shadi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xulq-atvorini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boshqaruvchi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mezondir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Bu —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yaxshilik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yomonlik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halollik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insofsizlik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adolat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zulm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tushunchalarni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ma’naviy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mezonlar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majmuasidir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ruhiy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dunyosini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boyitadi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ichki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jihatdan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yuksaltiradi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komil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sari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yetaklaydi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qadriyatlar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mustahkam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—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doimo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barqaror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sog‘lom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davlat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tomonidan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belgilangan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kuchiga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ijtimoiy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tartibotlar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tizimidir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rtasidagi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munosabatlarni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tartibga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soladi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adolat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tenglik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tamoyillarini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kafolatlaydi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madaniyat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yuqori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lgan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fuqarolar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—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qonunlarga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haq-huquqlarini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oldida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burchlarini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bajarishga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mas’uliyat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yondashadi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Bu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tushuncha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zaro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bog‘liq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kamoloti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taraqqiyotida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rol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o‘ynaydi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tashqi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fe’l-atvori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,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uning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ichki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ma’naviy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mezoni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,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ijtimoiy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tartib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adolatning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kafolatidir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kuchsiz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Shunday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ekan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tushunchalarning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chuqur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anglab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ularga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amal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nafaqat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shaxsiy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kamolot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balki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taraqqiyotining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ham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omilidir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Hurmatli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quvchilar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xulosa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aytganda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yuqoridagi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tushuncha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bir-biriga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bog‘liq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bo‘lib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mavqeini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belgilab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- Agar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odamning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axloqi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bo‘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lsa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xulqi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ham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yaxshi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bo‘ladi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- Agar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huquqni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hurmat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qilsa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zini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mas’uliyatli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tutadi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-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Axloq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huquq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birgalikda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jamiyatda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odillik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tinchlik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taraqqiyotni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ta’minlaydi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Shuning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xulqimizga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axloqimizga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huquqqa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jiddiy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e’tibor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berishimiz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kerak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Chunki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bu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nafaqat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balki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jamiyatimiz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kelajagi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uchun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ham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muhim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9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</w:p>
    <w:p>
      <w:pPr>
        <w:pStyle w:val="style0"/>
        <w:shd w:val="clear" w:color="auto" w:fill="ffffff"/>
        <w:spacing w:after="0" w:lineRule="auto" w:line="240"/>
        <w:ind w:firstLine="709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Hafta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hikmati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-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odobi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bilan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go‘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zal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!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O‘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qituvchi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umumiy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xulosa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qiladi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US" w:eastAsia="ru-RU"/>
        </w:rPr>
        <w:t>: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“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Demak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birimiz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kuni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qaror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qabul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qilamiz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Bu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qarorlar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bizning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qadr-qimmatimizni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belgilaydi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Haqiqat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halollik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va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insoniylik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yo‘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lidan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borish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eng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to‘g‘ri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tanlovdir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”.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Roboto" w:cs="Times New Roman" w:eastAsia="Times New Roman" w:hAnsi="Roboto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Xayr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salomat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bo‘ling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!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1307C3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4624239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multilevel"/>
    <w:tmpl w:val="831EB35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multilevel"/>
    <w:tmpl w:val="D8CA587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3A5C335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95E4B74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style3">
    <w:name w:val="heading 3"/>
    <w:basedOn w:val="style0"/>
    <w:next w:val="style3"/>
    <w:link w:val="style4098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paragraph" w:styleId="style4">
    <w:name w:val="heading 4"/>
    <w:basedOn w:val="style0"/>
    <w:next w:val="style4"/>
    <w:link w:val="style4099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style4098">
    <w:name w:val="Заголовок 3 Знак"/>
    <w:basedOn w:val="style65"/>
    <w:next w:val="style4098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customStyle="1" w:styleId="style4099">
    <w:name w:val="Заголовок 4 Знак"/>
    <w:basedOn w:val="style65"/>
    <w:next w:val="style4099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2355</Words>
  <Pages>9</Pages>
  <Characters>17197</Characters>
  <Application>WPS Office</Application>
  <DocSecurity>0</DocSecurity>
  <Paragraphs>177</Paragraphs>
  <ScaleCrop>false</ScaleCrop>
  <LinksUpToDate>false</LinksUpToDate>
  <CharactersWithSpaces>19769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2025-09-13T02:40:00Z</dcterms:created>
  <dc:creator>User</dc:creator>
  <lastModifiedBy>2209116AG</lastModifiedBy>
  <dcterms:modified xsi:type="dcterms:W3CDTF">2025-09-14T05:51:50Z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12044df74e3948879d7e55613d2832d9</vt:lpwstr>
  </property>
</Properties>
</file>